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yc0c7vtsk8ri" w:id="0"/>
      <w:bookmarkEnd w:id="0"/>
      <w:r w:rsidDel="00000000" w:rsidR="00000000" w:rsidRPr="00000000">
        <w:rPr>
          <w:rtl w:val="0"/>
        </w:rPr>
        <w:t xml:space="preserve">Toimintasuunnitelma 2025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6a8khlb498y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s7qby9e857hi" w:id="2"/>
      <w:bookmarkEnd w:id="2"/>
      <w:r w:rsidDel="00000000" w:rsidR="00000000" w:rsidRPr="00000000">
        <w:rPr>
          <w:rtl w:val="0"/>
        </w:rPr>
        <w:t xml:space="preserve">Toimintasuunnitelma toteuttaa uutta strategiaa 2025-2030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trike w:val="1"/>
        </w:rPr>
      </w:pPr>
      <w:r w:rsidDel="00000000" w:rsidR="00000000" w:rsidRPr="00000000">
        <w:rPr>
          <w:rtl w:val="0"/>
        </w:rPr>
        <w:t xml:space="preserve">Pyöräliiton uutta strategiaa vuosille 2025-2030 on työstetty samaan aikaan kuin toimintasuunnitelmaa vuodelle 2025. Toimintasuunnitelma osaltaan tulee noudattamaan uutta strategiaa.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ij052fltn6cn" w:id="3"/>
      <w:bookmarkEnd w:id="3"/>
      <w:r w:rsidDel="00000000" w:rsidR="00000000" w:rsidRPr="00000000">
        <w:rPr>
          <w:rtl w:val="0"/>
        </w:rPr>
        <w:t xml:space="preserve">Toiminnan kehittyminen</w:t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rtl w:val="0"/>
        </w:rPr>
        <w:t xml:space="preserve">Pyöräliiton toiminta kasvoi merkittävästi vuosina 2022-2023 ja tasaantui vuoteen 2024.  </w:t>
      </w:r>
      <w:r w:rsidDel="00000000" w:rsidR="00000000" w:rsidRPr="00000000">
        <w:rPr>
          <w:rtl w:val="0"/>
        </w:rPr>
        <w:t xml:space="preserve">Tämä on näkynyt suoraan liikevaihdon ja henkilökunnan määrän kasvuna. Tavoitteena on pitää vuonna 2025 liikevaihto ja henkilöstömäärä samalla tasolla. Vuoden 2025 liikevaihdoksi arvioidaan </w:t>
      </w:r>
      <w:r w:rsidDel="00000000" w:rsidR="00000000" w:rsidRPr="00000000">
        <w:rPr>
          <w:rtl w:val="0"/>
        </w:rPr>
        <w:t xml:space="preserve">621000€</w:t>
      </w:r>
      <w:r w:rsidDel="00000000" w:rsidR="00000000" w:rsidRPr="00000000">
        <w:rPr>
          <w:color w:val="ff0000"/>
          <w:rtl w:val="0"/>
        </w:rPr>
        <w:t xml:space="preserve">. </w:t>
      </w:r>
      <w:r w:rsidDel="00000000" w:rsidR="00000000" w:rsidRPr="00000000">
        <w:rPr>
          <w:highlight w:val="white"/>
          <w:rtl w:val="0"/>
        </w:rPr>
        <w:t xml:space="preserve">Vuonna 2025 Pyöräliitossa työskentelee 8 työntekijää. Perustyön puolella toiminnanjohtaja, viestintäsuunnittelija, tuottaja, vaikuttamistyön päällikkö, STEA:n hankkeissa työskentelee kaksi hanketyöntekijää sekä Pyörämatkailukeskuksessa kaksi työntekijää.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guru844vfj0q" w:id="4"/>
      <w:bookmarkEnd w:id="4"/>
      <w:r w:rsidDel="00000000" w:rsidR="00000000" w:rsidRPr="00000000">
        <w:rPr>
          <w:rtl w:val="0"/>
        </w:rPr>
        <w:t xml:space="preserve">Vaikut</w:t>
      </w:r>
      <w:r w:rsidDel="00000000" w:rsidR="00000000" w:rsidRPr="00000000">
        <w:rPr>
          <w:rtl w:val="0"/>
        </w:rPr>
        <w:t xml:space="preserve">tamistyö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Vaikuttamistyössä lisätään suomalaisten pyöräilyä vaikuttamalla päätöksentekoon. Laadukkaampi ja turvallisempi liikenneympäristö kannustaa yhä useampaa pyöräilemään yhä useammin.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Toimenpiteet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Tuodaan pyöräliikenteen kansanterveydellisiä vaikutuksia esiin.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Pyöräliikenteen kasvattaminen vaikuttaa liikkumattomuuteen ja pidentää työuria.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Pyöräliikenteen turvallisuuden ja sujuvuuden parantaminen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Edistetään  30 km/h aluerajoituksia</w:t>
      </w:r>
      <w:r w:rsidDel="00000000" w:rsidR="00000000" w:rsidRPr="00000000">
        <w:rPr>
          <w:rtl w:val="0"/>
        </w:rPr>
        <w:t xml:space="preserve">, tuodaan esiin yhä suurempaa tarvetta erotella pyöräliikenne jalankulusta.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Edistetään kestäviä matkaketjuja sekä pyöräpysäköintiä.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Junapyöräilyn tiekartan markkinointi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Selvitetään mitä pyöräilydataa, miten ja kenen toimesta kerätään ja tulisi kerätä sekä miten siitä voisi tulevaisuudessa koota kattavan valtakunnallisen Pyöräliikenteen vuosikirjan.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Pyöräliitto on </w:t>
      </w:r>
      <w:r w:rsidDel="00000000" w:rsidR="00000000" w:rsidRPr="00000000">
        <w:rPr>
          <w:rtl w:val="0"/>
        </w:rPr>
        <w:t xml:space="preserve">mukana pyöräliikenteeseen liittyvissä valtakunnallisissa päätösprosesseissa.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lausunnot ja lakivalmistelut, esimerki</w:t>
      </w:r>
      <w:r w:rsidDel="00000000" w:rsidR="00000000" w:rsidRPr="00000000">
        <w:rPr>
          <w:sz w:val="22"/>
          <w:szCs w:val="22"/>
          <w:rtl w:val="0"/>
        </w:rPr>
        <w:t xml:space="preserve">ksi </w:t>
      </w:r>
      <w:r w:rsidDel="00000000" w:rsidR="00000000" w:rsidRPr="00000000">
        <w:rPr>
          <w:rtl w:val="0"/>
        </w:rPr>
        <w:t xml:space="preserve">Liikenteen rahoituksen ja verotuksen kokonaisuudistus, liikenneturvallisuusstrategia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mittari: lausuntojen määrät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Kasvatetaan Pyöräliiton näkyvyyttä ja vaikuttavuutta verkostoitumalla alan ammattilaisten ja päättäjien kanssa.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Säännölliset tapaamiset Traficomin ja Väyläviraston kanssa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Päättäjätapaamiset kansanedustajien kanssa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Paikallisesti jäsenjärjestöt toimivat omien kaupunkien ja kuntien päättäjien ja viranomaisten kanssa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Eduskunnan kestävän liikenteen verkosto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Toteutetaan Kunta- ja aluevaaleihin liittyen Pyörävaalit-kampanja yhteistyössä jäsenjärjestöjen kanssa.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Vaikuttamistyön tavoitteena on kasvattaa pyöräliikenteen kulkutapaosuutta erityisesti lyhyillä (0-10km) matkoilla.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9q94ja69vukp" w:id="5"/>
      <w:bookmarkEnd w:id="5"/>
      <w:r w:rsidDel="00000000" w:rsidR="00000000" w:rsidRPr="00000000">
        <w:rPr>
          <w:rtl w:val="0"/>
        </w:rPr>
        <w:t xml:space="preserve">Liikkumisenohjaus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Liikkumisenohjauksessa markkinoidaan kestäviä liikennemuotoja viestinnän, markkinoinnin ja tapahtumien keinoin.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Viestinnässä kärkenä, että “Suomi on pyöräilymaa”. Tuodaan esiin, mitkä asiat Suomessa on pyöräilyn näkökulmasta hyvällä tolalla ja mistä voidaan olla ylpeitä.</w:t>
      </w:r>
    </w:p>
    <w:p w:rsidR="00000000" w:rsidDel="00000000" w:rsidP="00000000" w:rsidRDefault="00000000" w:rsidRPr="00000000" w14:paraId="00000022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mittari: mediaosumat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Viestintäkampanja, jossa tuotetaan lyhytvideomuodossa kouluttavia tietoiskuja pyöräliikenteestä. </w:t>
      </w:r>
    </w:p>
    <w:p w:rsidR="00000000" w:rsidDel="00000000" w:rsidP="00000000" w:rsidRDefault="00000000" w:rsidRPr="00000000" w14:paraId="00000024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mittari: tietoiskuvideoiden määrä ja niiden seuraamismäärä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Toimia pyöräliikenteen asiantuntijana, jonka mielipidettä ja neuvoja kysyvät niin arkipyöräilijät, pyöräilytoimialan yrittäjät kuin mediakin.</w:t>
      </w:r>
    </w:p>
    <w:p w:rsidR="00000000" w:rsidDel="00000000" w:rsidP="00000000" w:rsidRDefault="00000000" w:rsidRPr="00000000" w14:paraId="00000026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mittari: yhteydenottojen määrä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Jatketaan Pyöräilytalvi-kampanjan toteuttamista ja tuetaan paikallisten tapahtumien järjestämiseen.</w:t>
      </w:r>
    </w:p>
    <w:p w:rsidR="00000000" w:rsidDel="00000000" w:rsidP="00000000" w:rsidRDefault="00000000" w:rsidRPr="00000000" w14:paraId="00000028">
      <w:pPr>
        <w:numPr>
          <w:ilvl w:val="1"/>
          <w:numId w:val="10"/>
        </w:numPr>
        <w:ind w:left="1440" w:hanging="360"/>
        <w:rPr/>
      </w:pPr>
      <w:r w:rsidDel="00000000" w:rsidR="00000000" w:rsidRPr="00000000">
        <w:rPr>
          <w:rtl w:val="0"/>
        </w:rPr>
        <w:t xml:space="preserve">mittari: mediaosumat ja paikallisten tapahtumien määrä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rPr/>
      </w:pPr>
      <w:bookmarkStart w:colFirst="0" w:colLast="0" w:name="_mi764ei72nf6" w:id="6"/>
      <w:bookmarkEnd w:id="6"/>
      <w:r w:rsidDel="00000000" w:rsidR="00000000" w:rsidRPr="00000000">
        <w:rPr>
          <w:rtl w:val="0"/>
        </w:rPr>
        <w:t xml:space="preserve">Pyörämatkailukeskus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Pyörämatkailukeskus on Pyöräliiton ja Pyöräilykuntien verkoston yhteinen pyörämatkailun kehitysorganisaatio, jonka tehtävänä on koordinoida ja yhtenäistää Suomen pyörämatkailun kehitystyötä valtakunnallisesti. </w:t>
      </w:r>
      <w:r w:rsidDel="00000000" w:rsidR="00000000" w:rsidRPr="00000000">
        <w:rPr>
          <w:rtl w:val="0"/>
        </w:rPr>
        <w:t xml:space="preserve">Pyörämatkailukeskus edistää Suomessa tehtävää  pyörämatkailun kehitystyötä koordinoimalla ja parantamalla alan ammattilaisten osaamista, sekä keräämällä tietoa niin kansainvälisten kuin kotimaisten asiakkaiden käyttöön ylläpitämällä Bikeland.fi -sivustoa ja siihen liitännäisiä sosiaalisen median sivustoja. Pyörämatkailukeskus toimii myös Suomen virallisena EuroVelo -koordinaatiokeskuksena.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Tavoitteena on vakiinnuttaa pyörämatkailukeskuksen tekemä työ osaksi Pyöräliiton toimintaa ja varmistaa nykyistä pysyvämpi rahoitus. Pyöräliitto on mukana pyörämatkailuun liittyvässä Bike across the Baltic Interreg-hankkeessa 2024-2025.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Pyörämatkailureittien määrän ja laadun parantaminen  jatkamalla reittikehittäjien neuvontaa, koulutusta ja tiedon jatkoa.</w:t>
      </w:r>
    </w:p>
    <w:p w:rsidR="00000000" w:rsidDel="00000000" w:rsidP="00000000" w:rsidRDefault="00000000" w:rsidRPr="00000000" w14:paraId="00000030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Mittarit: Neuvontatilanteet ja koulutukset.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Tehostetaan Bikeland.fi:n tunnettavuutta ja lisätään tietämystä pyörämatkailun taloudellisista vaikutuksista.</w:t>
      </w:r>
    </w:p>
    <w:p w:rsidR="00000000" w:rsidDel="00000000" w:rsidP="00000000" w:rsidRDefault="00000000" w:rsidRPr="00000000" w14:paraId="00000032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Mittarit: Bikeland.fi -sivuston kävijämäärä ja paikkamyynti</w:t>
      </w:r>
    </w:p>
    <w:p w:rsidR="00000000" w:rsidDel="00000000" w:rsidP="00000000" w:rsidRDefault="00000000" w:rsidRPr="00000000" w14:paraId="00000033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Welcome Cyclist -tunnuksen saaneiden yritysten määrä ja saatava tulo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Tuotetaan vuosittain Suuri suomalainen pyörämatkailukysely sekä Welcome Cyclist -tunnuksen saaneille yrityksille suunnattu kysely.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Vahvistetaan Pyörämatkailukeskuksen rahoitusta osana Pyöräliiton kokonaisrahoitusta</w:t>
      </w:r>
    </w:p>
    <w:p w:rsidR="00000000" w:rsidDel="00000000" w:rsidP="00000000" w:rsidRDefault="00000000" w:rsidRPr="00000000" w14:paraId="00000036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Mittari: saatu hanke -ja pysyväisrahoitus (euromäärä)</w:t>
      </w:r>
    </w:p>
    <w:p w:rsidR="00000000" w:rsidDel="00000000" w:rsidP="00000000" w:rsidRDefault="00000000" w:rsidRPr="00000000" w14:paraId="00000037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Oma koulutus/konsultointi myynti rahoituksen sallimissa rajoissa.</w:t>
      </w:r>
    </w:p>
    <w:p w:rsidR="00000000" w:rsidDel="00000000" w:rsidP="00000000" w:rsidRDefault="00000000" w:rsidRPr="00000000" w14:paraId="00000038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/>
      </w:pPr>
      <w:bookmarkStart w:colFirst="0" w:colLast="0" w:name="_jqjdt41teo4z" w:id="7"/>
      <w:bookmarkEnd w:id="7"/>
      <w:r w:rsidDel="00000000" w:rsidR="00000000" w:rsidRPr="00000000">
        <w:rPr>
          <w:rtl w:val="0"/>
        </w:rPr>
        <w:t xml:space="preserve">VeloFinland ja muut tapahtumat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 xml:space="preserve">VeloFinland on Pyöräliiton vuosittain järjestämä pyöräliikenteen ja -matkailun oma ammattilais- ja aktiivitapahtuma. Tapahtuma kiertää ympäri Suomea eri paikkakunnilla.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Järjestetään </w:t>
      </w:r>
      <w:r w:rsidDel="00000000" w:rsidR="00000000" w:rsidRPr="00000000">
        <w:rPr>
          <w:rtl w:val="0"/>
        </w:rPr>
        <w:t xml:space="preserve">VeloFinland </w:t>
      </w:r>
      <w:r w:rsidDel="00000000" w:rsidR="00000000" w:rsidRPr="00000000">
        <w:rPr>
          <w:rtl w:val="0"/>
        </w:rPr>
        <w:t xml:space="preserve">2025 tapahtumakaupungissa, joka julkaistaan syksyllä 2024.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Mittari: Tapahtuman järjestäminen ja sen osallistujamäärä sekä osallistujapalaute.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Tapahtuma järjestetään jälleen täysin kaksikielisenä (suomi &amp; englanti) ja sinne houkutellaan kansainvälisiä opiskelijoita ja alan ammattilaisia ulkomailta.</w:t>
      </w:r>
    </w:p>
    <w:p w:rsidR="00000000" w:rsidDel="00000000" w:rsidP="00000000" w:rsidRDefault="00000000" w:rsidRPr="00000000" w14:paraId="0000003E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Mittari: </w:t>
      </w:r>
      <w:r w:rsidDel="00000000" w:rsidR="00000000" w:rsidRPr="00000000">
        <w:rPr>
          <w:rtl w:val="0"/>
        </w:rPr>
        <w:t xml:space="preserve">ei-suomenkielisten osallistujien määrä, kuinka monesta eri kunnasta on työntekijöitä osallistuu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Valitaan 2-3 tärkeintä tapahtumaa, joihin osallistutaan vuosittain. </w:t>
      </w:r>
      <w:r w:rsidDel="00000000" w:rsidR="00000000" w:rsidRPr="00000000">
        <w:rPr>
          <w:rtl w:val="0"/>
        </w:rPr>
        <w:t xml:space="preserve">Väylät &amp; Liikenne -tapahtuma on yksi näistä.</w:t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Mittari: tapahtumien määrä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/>
      </w:pPr>
      <w:bookmarkStart w:colFirst="0" w:colLast="0" w:name="_1rk22fjgvljo" w:id="8"/>
      <w:bookmarkEnd w:id="8"/>
      <w:r w:rsidDel="00000000" w:rsidR="00000000" w:rsidRPr="00000000">
        <w:rPr>
          <w:rtl w:val="0"/>
        </w:rPr>
        <w:t xml:space="preserve">Dynamo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Dynamo on Pyöräliiton yritysyhteistyön verkosto. Dynamossa on mukana laajasti pyörätoimialan yrityksiä pyörien myyjistä ja maahantuojista kaupunkipyöräoperaattoreihin ja pyöräliikenteen suunnittelutoimistoihin.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Järjestään 3-4 Dynamo-tapaamista, joissa osassa on myös ulkopuolisia esiintyjiä ajankohtaisista teemoista.</w:t>
      </w:r>
    </w:p>
    <w:p w:rsidR="00000000" w:rsidDel="00000000" w:rsidP="00000000" w:rsidRDefault="00000000" w:rsidRPr="00000000" w14:paraId="00000045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mittari: toteutuneet tapaamiset ja osallistujamäärät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Hankitaan vähintään 5 uutta Dynamo-jäsenyritystä.</w:t>
      </w:r>
    </w:p>
    <w:p w:rsidR="00000000" w:rsidDel="00000000" w:rsidP="00000000" w:rsidRDefault="00000000" w:rsidRPr="00000000" w14:paraId="0000004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Mittari: jäsenyritysten määrä, budjetoidun jäsenmaksumäärän toteutuminen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rPr/>
      </w:pPr>
      <w:bookmarkStart w:colFirst="0" w:colLast="0" w:name="_a0ii6kign6jl" w:id="9"/>
      <w:bookmarkEnd w:id="9"/>
      <w:r w:rsidDel="00000000" w:rsidR="00000000" w:rsidRPr="00000000">
        <w:rPr>
          <w:rtl w:val="0"/>
        </w:rPr>
        <w:t xml:space="preserve">Pyöräpajat rullaamaan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Pyöräpajat rullaamaan on STEA-rahoitteinen hanke vuosina 2023-2025. Sen tavoitteena on lisätä yhteisöllisten ja avointen pyöräpajojen määrää ja kehittää niiden toimintaa valtakunnallisesti.  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Jatketaan toimintaa hankesuunnitelman mukaisesti.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rPr/>
      </w:pPr>
      <w:bookmarkStart w:colFirst="0" w:colLast="0" w:name="_7445mo4y3o3g" w:id="10"/>
      <w:bookmarkEnd w:id="10"/>
      <w:r w:rsidDel="00000000" w:rsidR="00000000" w:rsidRPr="00000000">
        <w:rPr>
          <w:rtl w:val="0"/>
        </w:rPr>
        <w:t xml:space="preserve">Satulaan ja Erityispyörän satulaan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Satulaan on STEA-rahoitteinen hanke vuonna 2022 alkanut hanke, joka jatkuu kevääseen 2025. Siinä kannustetaan yli 50-vuotiaita jatkamaan pyöräilyä ja aloittamaan se uudelleen, jos pyöräily on jäänyt vähemmälle. STEA:sta on haettu rahoitusta uudelle Erityispyörän satulaan -hankkeelle, jonka tavoitteena on parantaa erityispyörien näkyvyyttä ja saavutettavuutta. Tavoitteena on, että yhä useampi  eri syistä liikuntarajoitteinen ihminen saa mahdollisuuden kokeilla erityispyörää nähdäkseen olisiko se liikkumista edistävä apuväline. 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Jatketaan toimintaa hankesuunnitelman mukaisesti.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rPr/>
      </w:pPr>
      <w:bookmarkStart w:colFirst="0" w:colLast="0" w:name="_5s0fbs6om3zt" w:id="11"/>
      <w:bookmarkEnd w:id="11"/>
      <w:r w:rsidDel="00000000" w:rsidR="00000000" w:rsidRPr="00000000">
        <w:rPr>
          <w:rtl w:val="0"/>
        </w:rPr>
        <w:t xml:space="preserve">Järjestötoiminta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Järjestötoiminnassa tuetaan Pyöräliiton paikallisia jäsenjärjestöä toimimaan mahdollisimman hyvin.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Järjestään Talvipäivät -koulutustapahtuma tammikuussa jäsenjärjestöjen aktiiveille.</w:t>
      </w:r>
    </w:p>
    <w:p w:rsidR="00000000" w:rsidDel="00000000" w:rsidP="00000000" w:rsidRDefault="00000000" w:rsidRPr="00000000" w14:paraId="00000054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mittari: osallistuneiden jäsenjärjestöjen määrä, kirjalliset palautteet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Tuetaan jäsenhankinnassa.</w:t>
      </w:r>
    </w:p>
    <w:p w:rsidR="00000000" w:rsidDel="00000000" w:rsidP="00000000" w:rsidRDefault="00000000" w:rsidRPr="00000000" w14:paraId="00000056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mittari: jäsenhankintakampanjaan osallistuneiden jäsenjärjestöjen määrä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Neuvotellaan valtakunnallisia jäsenetuja Pyöräliiton jäsenille.</w:t>
      </w:r>
    </w:p>
    <w:p w:rsidR="00000000" w:rsidDel="00000000" w:rsidP="00000000" w:rsidRDefault="00000000" w:rsidRPr="00000000" w14:paraId="00000058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mittari: etujen määrä</w:t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rPr/>
      </w:pPr>
      <w:bookmarkStart w:colFirst="0" w:colLast="0" w:name="_t3zzrl50aibc" w:id="12"/>
      <w:bookmarkEnd w:id="12"/>
      <w:r w:rsidDel="00000000" w:rsidR="00000000" w:rsidRPr="00000000">
        <w:rPr>
          <w:rtl w:val="0"/>
        </w:rPr>
        <w:t xml:space="preserve">Viestintä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  <w:t xml:space="preserve">Pyöräliiton viestintää toteutetaan vuonna 2024 uusituilla verkkosivuilla, sosiaalisen median sivustoilla sekä lehdistötiedottein.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Tuotetaan ja kehitetään aktiivisesti vaikuttajaviestintää tukevia materiaaleja.</w:t>
      </w:r>
    </w:p>
    <w:p w:rsidR="00000000" w:rsidDel="00000000" w:rsidP="00000000" w:rsidRDefault="00000000" w:rsidRPr="00000000" w14:paraId="0000005D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Mittari: Mediaosumat, joissa vaikuttamisviestintä kärkenä.</w:t>
      </w:r>
    </w:p>
    <w:p w:rsidR="00000000" w:rsidDel="00000000" w:rsidP="00000000" w:rsidRDefault="00000000" w:rsidRPr="00000000" w14:paraId="0000005E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Kärkiviestit vuonna 2025 ovat “Pyöräliikenteen terveyshyödyt” sekä “Suomi on pyöräilymaa”.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Ylläpidetään verkkosivuja, joissa on ajantasaista tietoa pyöräliikenteeseen liittyen. 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Viestintäsuunnitelman- ja vuosikellon päivittäminen / uusiminen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rPr/>
      </w:pPr>
      <w:bookmarkStart w:colFirst="0" w:colLast="0" w:name="_3uk9bjgxp9s0" w:id="13"/>
      <w:bookmarkEnd w:id="13"/>
      <w:r w:rsidDel="00000000" w:rsidR="00000000" w:rsidRPr="00000000">
        <w:rPr>
          <w:rtl w:val="0"/>
        </w:rPr>
        <w:t xml:space="preserve">Kansainvälinen toiminta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  <w:t xml:space="preserve">Pyöräliitto seuraa kansainvälisiä pyöräilyn trendejä ja kehityssuuntia pyrkien tuomaan muissa maissa toimineita hyviä käytäntöjä esiin Suomessa.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Jatketaan aktiivista tiedonvaihtoa pohjoismaisten sisarjärjestöjen kanssa ja haetaan rahoitusta yhteisen hankkeen tekemiseen.</w:t>
      </w:r>
    </w:p>
    <w:p w:rsidR="00000000" w:rsidDel="00000000" w:rsidP="00000000" w:rsidRDefault="00000000" w:rsidRPr="00000000" w14:paraId="00000065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mittari: yhteisten tapaamisten määrä, hankehakemuksen lähteminen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Osallistutaan taloudellisten resurssien salliessa Velo-city -seminaariin. Seminaarin antia jaetaan kotimaassa viestinnän keinoin sekä osallistumalla Velo-city -jälkiseminaariin.</w:t>
      </w:r>
    </w:p>
    <w:p w:rsidR="00000000" w:rsidDel="00000000" w:rsidP="00000000" w:rsidRDefault="00000000" w:rsidRPr="00000000" w14:paraId="00000067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mittari: osallistuneiden määrä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Osallistutaan mahdollisuuksien mukaan EuroVelo -reittien kehittämiseen ja pyritään muuttamaan EuroVelojen rahoitusosuuksia Suomen kannalta järkevämmäksi.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Osallistutaan mahdollisuuksien mukaan European Cyclists’ Federationin vuosikokoukseen.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rPr/>
      </w:pPr>
      <w:bookmarkStart w:colFirst="0" w:colLast="0" w:name="_2489o7xoc39s" w:id="14"/>
      <w:bookmarkEnd w:id="14"/>
      <w:r w:rsidDel="00000000" w:rsidR="00000000" w:rsidRPr="00000000">
        <w:rPr>
          <w:rtl w:val="0"/>
        </w:rPr>
        <w:t xml:space="preserve">Hallinto ja talous</w:t>
      </w:r>
    </w:p>
    <w:p w:rsidR="00000000" w:rsidDel="00000000" w:rsidP="00000000" w:rsidRDefault="00000000" w:rsidRPr="00000000" w14:paraId="0000006C">
      <w:pPr>
        <w:rPr>
          <w:color w:val="ff0000"/>
        </w:rPr>
      </w:pPr>
      <w:r w:rsidDel="00000000" w:rsidR="00000000" w:rsidRPr="00000000">
        <w:rPr>
          <w:rtl w:val="0"/>
        </w:rPr>
        <w:t xml:space="preserve">Hallinnon ja talouden näkökulmasta Pyöräliiton keskeisenä tavoitteena on kääntää negatiivinen tase takaisin positiiviseksi. Keinoina tähän etsitään ulkoista varhainhankintakumppania, lisätään yritysyhteistyötä ja tehdään Pyörämatkailukeskuksen Welcome Cyclist -tunnuksesta maksullinen.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Muita hallintoon liittyviä toimenpiteitä  ovat:</w:t>
      </w:r>
    </w:p>
    <w:p w:rsidR="00000000" w:rsidDel="00000000" w:rsidP="00000000" w:rsidRDefault="00000000" w:rsidRPr="00000000" w14:paraId="0000006F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Selkeytetään  työntekijöiden vastuualueita.</w:t>
      </w:r>
    </w:p>
    <w:p w:rsidR="00000000" w:rsidDel="00000000" w:rsidP="00000000" w:rsidRDefault="00000000" w:rsidRPr="00000000" w14:paraId="00000070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Päivitetään Pyöräliiton tasa-arvo- ja yhdenvertaisuusohje.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700.7874015748032" w:top="1700.7874015748032" w:left="1984.2519685039372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verpas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"/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ageBreakBefore w:val="0"/>
      <w:spacing w:line="360" w:lineRule="auto"/>
      <w:ind w:left="-139.2519685039369" w:firstLine="0"/>
      <w:jc w:val="left"/>
      <w:rPr>
        <w:rFonts w:ascii="Overpass" w:cs="Overpass" w:eastAsia="Overpass" w:hAnsi="Overpass"/>
        <w:b w:val="1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2"/>
      <w:tblW w:w="9345.0" w:type="dxa"/>
      <w:jc w:val="right"/>
      <w:tblLayout w:type="fixed"/>
      <w:tblLook w:val="0600"/>
    </w:tblPr>
    <w:tblGrid>
      <w:gridCol w:w="4785"/>
      <w:gridCol w:w="1680"/>
      <w:gridCol w:w="2430"/>
      <w:gridCol w:w="450"/>
      <w:tblGridChange w:id="0">
        <w:tblGrid>
          <w:gridCol w:w="4785"/>
          <w:gridCol w:w="1680"/>
          <w:gridCol w:w="2430"/>
          <w:gridCol w:w="45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79">
          <w:pPr>
            <w:pageBreakBefore w:val="0"/>
            <w:spacing w:line="360" w:lineRule="auto"/>
            <w:ind w:left="160.7480314960631" w:firstLine="0"/>
            <w:rPr>
              <w:rFonts w:ascii="Poppins" w:cs="Poppins" w:eastAsia="Poppins" w:hAnsi="Poppins"/>
              <w:b w:val="1"/>
              <w:sz w:val="16"/>
              <w:szCs w:val="16"/>
            </w:rPr>
          </w:pPr>
          <w:r w:rsidDel="00000000" w:rsidR="00000000" w:rsidRPr="00000000">
            <w:rPr>
              <w:rFonts w:ascii="Poppins" w:cs="Poppins" w:eastAsia="Poppins" w:hAnsi="Poppins"/>
              <w:b w:val="1"/>
              <w:sz w:val="16"/>
              <w:szCs w:val="16"/>
              <w:rtl w:val="0"/>
            </w:rPr>
            <w:t xml:space="preserve">Pyöräliitto</w:t>
          </w:r>
          <w:r w:rsidDel="00000000" w:rsidR="00000000" w:rsidRPr="00000000">
            <w:rPr>
              <w:rFonts w:ascii="Poppins" w:cs="Poppins" w:eastAsia="Poppins" w:hAnsi="Poppins"/>
              <w:sz w:val="16"/>
              <w:szCs w:val="16"/>
              <w:rtl w:val="0"/>
            </w:rPr>
            <w:t xml:space="preserve"> – Iso Roobertinkatu 3-5 A 22, 00120 Helsinki                         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7A">
          <w:pPr>
            <w:pageBreakBefore w:val="0"/>
            <w:spacing w:line="360" w:lineRule="auto"/>
            <w:rPr>
              <w:rFonts w:ascii="Poppins" w:cs="Poppins" w:eastAsia="Poppins" w:hAnsi="Poppins"/>
              <w:b w:val="1"/>
              <w:sz w:val="16"/>
              <w:szCs w:val="16"/>
            </w:rPr>
          </w:pPr>
          <w:hyperlink r:id="rId1">
            <w:r w:rsidDel="00000000" w:rsidR="00000000" w:rsidRPr="00000000">
              <w:rPr>
                <w:rFonts w:ascii="Poppins" w:cs="Poppins" w:eastAsia="Poppins" w:hAnsi="Poppins"/>
                <w:color w:val="1155cc"/>
                <w:sz w:val="16"/>
                <w:szCs w:val="16"/>
                <w:u w:val="single"/>
                <w:rtl w:val="0"/>
              </w:rPr>
              <w:t xml:space="preserve">www.pyoraliitto.fi 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7B">
          <w:pPr>
            <w:pageBreakBefore w:val="0"/>
            <w:spacing w:line="360" w:lineRule="auto"/>
            <w:rPr>
              <w:rFonts w:ascii="Poppins" w:cs="Poppins" w:eastAsia="Poppins" w:hAnsi="Poppins"/>
              <w:b w:val="1"/>
              <w:sz w:val="16"/>
              <w:szCs w:val="16"/>
            </w:rPr>
          </w:pPr>
          <w:hyperlink r:id="rId2">
            <w:r w:rsidDel="00000000" w:rsidR="00000000" w:rsidRPr="00000000">
              <w:rPr>
                <w:rFonts w:ascii="Poppins" w:cs="Poppins" w:eastAsia="Poppins" w:hAnsi="Poppins"/>
                <w:color w:val="1155cc"/>
                <w:sz w:val="16"/>
                <w:szCs w:val="16"/>
                <w:u w:val="single"/>
                <w:rtl w:val="0"/>
              </w:rPr>
              <w:t xml:space="preserve">pyoraliitto@pyoraliitto.fi</w:t>
            </w:r>
          </w:hyperlink>
          <w:r w:rsidDel="00000000" w:rsidR="00000000" w:rsidRPr="00000000">
            <w:rPr>
              <w:rFonts w:ascii="Poppins" w:cs="Poppins" w:eastAsia="Poppins" w:hAnsi="Poppins"/>
              <w:sz w:val="16"/>
              <w:szCs w:val="16"/>
              <w:rtl w:val="0"/>
            </w:rPr>
            <w:t xml:space="preserve">  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7C">
          <w:pPr>
            <w:pageBreakBefore w:val="0"/>
            <w:spacing w:line="360" w:lineRule="auto"/>
            <w:jc w:val="right"/>
            <w:rPr>
              <w:rFonts w:ascii="Open Sans" w:cs="Open Sans" w:eastAsia="Open Sans" w:hAnsi="Open Sans"/>
              <w:b w:val="1"/>
              <w:sz w:val="16"/>
              <w:szCs w:val="16"/>
            </w:rPr>
          </w:pPr>
          <w:r w:rsidDel="00000000" w:rsidR="00000000" w:rsidRPr="00000000">
            <w:rPr>
              <w:rFonts w:ascii="Open Sans" w:cs="Open Sans" w:eastAsia="Open Sans" w:hAnsi="Open Sans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D">
    <w:pPr>
      <w:pageBreakBefore w:val="0"/>
      <w:spacing w:line="360" w:lineRule="auto"/>
      <w:jc w:val="right"/>
      <w:rPr>
        <w:rFonts w:ascii="Overpass" w:cs="Overpass" w:eastAsia="Overpass" w:hAnsi="Overpass"/>
        <w:b w:val="1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ageBreakBefore w:val="0"/>
      <w:spacing w:line="360" w:lineRule="auto"/>
      <w:jc w:val="center"/>
      <w:rPr>
        <w:rFonts w:ascii="Overpass" w:cs="Overpass" w:eastAsia="Overpass" w:hAnsi="Overpass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5448300</wp:posOffset>
          </wp:positionH>
          <wp:positionV relativeFrom="paragraph">
            <wp:posOffset>123825</wp:posOffset>
          </wp:positionV>
          <wp:extent cx="848812" cy="701811"/>
          <wp:effectExtent b="0" l="0" r="0" t="0"/>
          <wp:wrapSquare wrapText="bothSides" distB="57150" distT="57150" distL="57150" distR="5715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8812" cy="70181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pageBreakBefore w:val="0"/>
      <w:spacing w:line="360" w:lineRule="auto"/>
      <w:jc w:val="center"/>
      <w:rPr>
        <w:rFonts w:ascii="Overpass" w:cs="Overpass" w:eastAsia="Overpass" w:hAnsi="Overpass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ageBreakBefore w:val="0"/>
      <w:spacing w:line="360" w:lineRule="auto"/>
      <w:rPr>
        <w:rFonts w:ascii="Overpass" w:cs="Overpass" w:eastAsia="Overpass" w:hAnsi="Overpass"/>
        <w:sz w:val="16"/>
        <w:szCs w:val="16"/>
      </w:rPr>
    </w:pPr>
    <w:r w:rsidDel="00000000" w:rsidR="00000000" w:rsidRPr="00000000">
      <w:rPr>
        <w:rFonts w:ascii="Overpass" w:cs="Overpass" w:eastAsia="Overpass" w:hAnsi="Overpass"/>
        <w:sz w:val="16"/>
        <w:szCs w:val="16"/>
        <w:rtl w:val="0"/>
      </w:rPr>
      <w:t xml:space="preserve">Pyöräliitto – Iso Roobertinkatu 3-5 A 22, 00120 Helsinki        </w:t>
    </w:r>
    <w:hyperlink r:id="rId2">
      <w:r w:rsidDel="00000000" w:rsidR="00000000" w:rsidRPr="00000000">
        <w:rPr>
          <w:rFonts w:ascii="Overpass" w:cs="Overpass" w:eastAsia="Overpass" w:hAnsi="Overpass"/>
          <w:color w:val="1155cc"/>
          <w:sz w:val="16"/>
          <w:szCs w:val="16"/>
          <w:u w:val="single"/>
          <w:rtl w:val="0"/>
        </w:rPr>
        <w:t xml:space="preserve">pyoraliitto@pyoraliitto.fi</w:t>
      </w:r>
    </w:hyperlink>
    <w:r w:rsidDel="00000000" w:rsidR="00000000" w:rsidRPr="00000000">
      <w:rPr>
        <w:rFonts w:ascii="Overpass" w:cs="Overpass" w:eastAsia="Overpass" w:hAnsi="Overpass"/>
        <w:sz w:val="16"/>
        <w:szCs w:val="16"/>
        <w:rtl w:val="0"/>
      </w:rPr>
      <w:t xml:space="preserve">        Twitter @PYORALIITTO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161925</wp:posOffset>
          </wp:positionV>
          <wp:extent cx="613123" cy="604838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123" cy="604838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9030.0" w:type="dxa"/>
      <w:jc w:val="left"/>
      <w:tblLayout w:type="fixed"/>
      <w:tblLook w:val="0600"/>
    </w:tblPr>
    <w:tblGrid>
      <w:gridCol w:w="3000"/>
      <w:gridCol w:w="6030"/>
      <w:tblGridChange w:id="0">
        <w:tblGrid>
          <w:gridCol w:w="3000"/>
          <w:gridCol w:w="603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13.38582677165356" w:type="dxa"/>
            <w:left w:w="113.38582677165356" w:type="dxa"/>
            <w:bottom w:w="113.38582677165356" w:type="dxa"/>
            <w:right w:w="113.38582677165356" w:type="dxa"/>
          </w:tcMar>
          <w:vAlign w:val="top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Poppins" w:cs="Poppins" w:eastAsia="Poppins" w:hAnsi="Poppins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13.38582677165356" w:type="dxa"/>
            <w:left w:w="113.38582677165356" w:type="dxa"/>
            <w:bottom w:w="113.38582677165356" w:type="dxa"/>
            <w:right w:w="113.38582677165356" w:type="dxa"/>
          </w:tcMar>
          <w:vAlign w:val="top"/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Poppins" w:cs="Poppins" w:eastAsia="Poppins" w:hAnsi="Poppins"/>
              <w:b w:val="1"/>
              <w:sz w:val="16"/>
              <w:szCs w:val="16"/>
            </w:rPr>
          </w:pPr>
          <w:r w:rsidDel="00000000" w:rsidR="00000000" w:rsidRPr="00000000">
            <w:rPr>
              <w:rFonts w:ascii="Poppins" w:cs="Poppins" w:eastAsia="Poppins" w:hAnsi="Poppins"/>
              <w:b w:val="1"/>
              <w:sz w:val="16"/>
              <w:szCs w:val="16"/>
              <w:rtl w:val="0"/>
            </w:rPr>
            <w:t xml:space="preserve">Pyöräliitto ry</w:t>
          </w:r>
        </w:p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Poppins" w:cs="Poppins" w:eastAsia="Poppins" w:hAnsi="Poppins"/>
              <w:b w:val="1"/>
              <w:sz w:val="16"/>
              <w:szCs w:val="16"/>
            </w:rPr>
          </w:pPr>
          <w:r w:rsidDel="00000000" w:rsidR="00000000" w:rsidRPr="00000000">
            <w:rPr>
              <w:rFonts w:ascii="Poppins" w:cs="Poppins" w:eastAsia="Poppins" w:hAnsi="Poppins"/>
              <w:b w:val="1"/>
              <w:sz w:val="16"/>
              <w:szCs w:val="16"/>
              <w:rtl w:val="0"/>
            </w:rPr>
            <w:t xml:space="preserve">toimintasuunnitelma 2025</w:t>
          </w:r>
        </w:p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Poppins" w:cs="Poppins" w:eastAsia="Poppins" w:hAnsi="Poppins"/>
              <w:b w:val="1"/>
              <w:sz w:val="16"/>
              <w:szCs w:val="16"/>
            </w:rPr>
          </w:pPr>
          <w:r w:rsidDel="00000000" w:rsidR="00000000" w:rsidRPr="00000000">
            <w:rPr>
              <w:rFonts w:ascii="Poppins" w:cs="Poppins" w:eastAsia="Poppins" w:hAnsi="Poppins"/>
              <w:b w:val="1"/>
              <w:sz w:val="16"/>
              <w:szCs w:val="16"/>
              <w:rtl w:val="0"/>
            </w:rPr>
            <w:t xml:space="preserve">1.10.2024</w:t>
          </w:r>
        </w:p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Poppins" w:cs="Poppins" w:eastAsia="Poppins" w:hAnsi="Poppins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7">
    <w:pPr>
      <w:pageBreakBefore w:val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ageBreakBefore w:val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Sans Pro" w:cs="Source Sans Pro" w:eastAsia="Source Sans Pro" w:hAnsi="Source Sans Pro"/>
        <w:lang w:val="fi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Poppins" w:cs="Poppins" w:eastAsia="Poppins" w:hAnsi="Poppins"/>
      <w:b w:val="1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rFonts w:ascii="Poppins" w:cs="Poppins" w:eastAsia="Poppins" w:hAnsi="Poppins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left w:color="000000" w:space="4" w:sz="8" w:val="single"/>
      </w:pBdr>
      <w:ind w:left="720" w:firstLine="0"/>
    </w:pPr>
    <w:rPr>
      <w:rFonts w:ascii="Source Sans Pro" w:cs="Source Sans Pro" w:eastAsia="Source Sans Pro" w:hAnsi="Source Sans Pro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rFonts w:ascii="Poppins" w:cs="Poppins" w:eastAsia="Poppins" w:hAnsi="Poppins"/>
      <w:b w:val="1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rFonts w:ascii="Source Sans Pro" w:cs="Source Sans Pro" w:eastAsia="Source Sans Pro" w:hAnsi="Source Sans Pro"/>
      <w:i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verpass-regular.ttf"/><Relationship Id="rId6" Type="http://schemas.openxmlformats.org/officeDocument/2006/relationships/font" Target="fonts/Overpass-bold.ttf"/><Relationship Id="rId7" Type="http://schemas.openxmlformats.org/officeDocument/2006/relationships/font" Target="fonts/Overpass-italic.ttf"/><Relationship Id="rId8" Type="http://schemas.openxmlformats.org/officeDocument/2006/relationships/font" Target="fonts/Overpas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yoraliitto.fi" TargetMode="External"/><Relationship Id="rId2" Type="http://schemas.openxmlformats.org/officeDocument/2006/relationships/hyperlink" Target="mailto:pyoraliitto@pyoraliitto.fi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yoraliitto@pyoraliitto.fi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